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2a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3">
            <w:pPr>
              <w:spacing w:after="2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2ede8"/>
                <w:sz w:val="16"/>
                <w:szCs w:val="16"/>
                <w:rtl w:val="0"/>
              </w:rPr>
              <w:t xml:space="preserve">REDEEMED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a89880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" w:before="3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f2ede8"/>
                <w:sz w:val="34"/>
                <w:szCs w:val="34"/>
                <w:rtl w:val="0"/>
              </w:rPr>
              <w:t xml:space="preserve">FIT Leadership Intro — Follow-Along Handout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a89880"/>
                <w:sz w:val="18"/>
                <w:szCs w:val="18"/>
                <w:rtl w:val="0"/>
              </w:rPr>
              <w:t xml:space="preserve">Faithful · Intentional · Teachable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8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bfb09a"/>
                <w:sz w:val="16"/>
                <w:szCs w:val="16"/>
                <w:rtl w:val="0"/>
              </w:rPr>
              <w:t xml:space="preserve">Optional Lesson — Participant Handout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a4a2a"/>
                <w:sz w:val="20"/>
                <w:szCs w:val="20"/>
                <w:rtl w:val="0"/>
              </w:rPr>
              <w:t xml:space="preserve">This handout follows the FIT Leadership Intro lesson. Use it to take notes, record your responses, and track your reflections throughout the discussion.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OPENING — LEADERSHIP &amp;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When you hear the word leadership, what comes to mind first?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Who has been the most spiritually impactful leader in your life,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1: SPIRITUAL GROWTH &amp;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1 Timothy 4:7–8</w:t>
      </w:r>
    </w:p>
    <w:p w:rsidR="00000000" w:rsidDel="00000000" w:rsidP="00000000" w:rsidRDefault="00000000" w:rsidRPr="00000000" w14:paraId="00000017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do you think Paul connects training with godliness?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According to this passage, why is spiritual training valuable?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does someone actively train spiritually?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4.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is spiritual growth especially important for those who lead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5a575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2: GROWTH VS. PERFECTION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Philippians 1:6</w:t>
      </w:r>
    </w:p>
    <w:p w:rsidR="00000000" w:rsidDel="00000000" w:rsidP="00000000" w:rsidRDefault="00000000" w:rsidRPr="00000000" w14:paraId="00000024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do people often associate leadership with spiritual maturity or having everything figured 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can the pressure to appear “put together” affect the way leaders act, grow, or ask for help?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According to Philippians 1:6, who begins and completes the work of spiritual growth in us? Why is recognizing this important?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4.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Growth is ongoing—what has this process looked like in your life so far?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3: INTRODUCING F.I.T.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Faithful: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 Being steady and dependable over time; following through on commitments and remaining consistent in your walk with God and your leadership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Intentional: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Leading with purpose; planning ahead, preparing your heart, and giving focused effort rather than “winging it.”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Teachable: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Having a humble posture, open to learning, feedback, and correction.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Which FIT quality feels most natural to you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Which one feels most challenging?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do these qualities matter in leadership?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4: SPIRITUAL FITNESS &amp; DAILY CHOICES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John 15:4–5</w:t>
      </w:r>
    </w:p>
    <w:p w:rsidR="00000000" w:rsidDel="00000000" w:rsidP="00000000" w:rsidRDefault="00000000" w:rsidRPr="00000000" w14:paraId="00000040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Who must we stay connected to in order to produce spiritual fruit in daily life and leadership roles?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is this relationship important before focusing on the “how-to” practices of spiritual growth?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What practices support spiritual growth in leaders?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4.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What habits or attitudes can quietly hinder spiritual fitness?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5: RUNNING THE RACE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Hebrews 12:1; Philippians 3:14–15</w:t>
      </w:r>
    </w:p>
    <w:p w:rsidR="00000000" w:rsidDel="00000000" w:rsidP="00000000" w:rsidRDefault="00000000" w:rsidRPr="00000000" w14:paraId="0000004D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should we view leadership as more of a marathon than a sprint?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What distractions commonly pull leaders off course? How can leaders fight these temptations?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does keeping an eternal perspective shape leadership decisions today?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6: READINESS FOR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Luke 16:10</w:t>
      </w:r>
    </w:p>
    <w:p w:rsidR="00000000" w:rsidDel="00000000" w:rsidP="00000000" w:rsidRDefault="00000000" w:rsidRPr="00000000" w14:paraId="00000059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Discussion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According to this verse, what does it mean to be “ready” for leadership?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does being faithful in small responsibilities show God you are ready for bigger ones?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Why is perseverance more important than perfection?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4.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might focus on small, faithful actions build trust with God and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SECTION 7: PERSONAL REFLECTION &amp; PRAYER (EXTENDED)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c2a28"/>
          <w:sz w:val="22"/>
          <w:szCs w:val="22"/>
          <w:rtl w:val="0"/>
        </w:rPr>
        <w:t xml:space="preserve">Read: Psalm 139:23–24</w:t>
      </w:r>
    </w:p>
    <w:p w:rsidR="00000000" w:rsidDel="00000000" w:rsidP="00000000" w:rsidRDefault="00000000" w:rsidRPr="00000000" w14:paraId="0000006D">
      <w:pPr>
        <w:spacing w:after="60" w:before="60" w:lineRule="auto"/>
        <w:rPr>
          <w:rFonts w:ascii="Montserrat" w:cs="Montserrat" w:eastAsia="Montserrat" w:hAnsi="Montserrat"/>
          <w:i w:val="1"/>
          <w:iCs w:val="1"/>
          <w:color w:val="2c2a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Reflection Prompts: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Which FIT quality do I most need to grow in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30" w:before="30" w:lineRule="auto"/>
        <w:ind w:left="360" w:hanging="280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How does God reveal areas for growth when I pause and reflect on His work in my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60" w:before="40" w:lineRule="auto"/>
        <w:rPr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bottom w:color="d8d0c8" w:space="4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60" w:before="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Group Prayer: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30" w:before="3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Thank God for His grace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30" w:before="3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Ask for humility, perseverance, and teachability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30" w:before="3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Pray for faithfulness in leadership influence</w:t>
      </w:r>
    </w:p>
    <w:p w:rsidR="00000000" w:rsidDel="00000000" w:rsidP="00000000" w:rsidRDefault="00000000" w:rsidRPr="00000000" w14:paraId="0000007B">
      <w:pPr>
        <w:spacing w:after="30" w:before="30" w:lineRule="auto"/>
        <w:ind w:left="0" w:firstLine="0"/>
        <w:rPr>
          <w:rFonts w:ascii="Montserrat" w:cs="Montserrat" w:eastAsia="Montserrat" w:hAnsi="Montserrat"/>
          <w:color w:val="5a575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988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b6058"/>
                <w:sz w:val="18"/>
                <w:szCs w:val="18"/>
                <w:rtl w:val="0"/>
              </w:rPr>
              <w:t xml:space="preserve">REFLECT &amp; CONNECT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b6058"/>
                <w:sz w:val="20"/>
                <w:szCs w:val="20"/>
                <w:rtl w:val="0"/>
              </w:rPr>
              <w:t xml:space="preserve">As you leave today, carry one question with you: In what area of my leadership is God inviting me to grow right now? Return to this handout throughout the year as a reminder of where you started and how far God has brought you.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a89880"/>
                <w:sz w:val="14"/>
                <w:szCs w:val="14"/>
                <w:rtl w:val="0"/>
              </w:rPr>
              <w:t xml:space="preserve">Equipping leaders to teach God’s Word with confidence.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4896a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HtqGfajdxXowdnFpjBS9upL/Q==">CgMxLjA4AHIhMV8ydi1Sd3Ytcm82UVMyenBwQU0xX3lIUXBsekc4blpC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